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9241" w:type="dxa"/>
        <w:tblInd w:w="0" w:type="dxa"/>
        <w:tblLayout w:type="fixed"/>
        <w:tblCellMar>
          <w:top w:w="0" w:type="dxa"/>
          <w:left w:w="108" w:type="dxa"/>
          <w:bottom w:w="0" w:type="dxa"/>
          <w:right w:w="108" w:type="dxa"/>
        </w:tblCellMar>
      </w:tblPr>
      <w:tblGrid>
        <w:gridCol w:w="7596"/>
        <w:gridCol w:w="1645"/>
      </w:tblGrid>
      <w:tr>
        <w:tblPrEx>
          <w:tblCellMar>
            <w:top w:w="0" w:type="dxa"/>
            <w:left w:w="108" w:type="dxa"/>
            <w:bottom w:w="0" w:type="dxa"/>
            <w:right w:w="108" w:type="dxa"/>
          </w:tblCellMar>
        </w:tblPrEx>
        <w:trPr>
          <w:cantSplit/>
          <w:trHeight w:val="1157" w:hRule="atLeast"/>
        </w:trPr>
        <w:tc>
          <w:tcPr>
            <w:tcW w:w="7596" w:type="dxa"/>
            <w:noWrap w:val="0"/>
            <w:vAlign w:val="top"/>
          </w:tcPr>
          <w:p>
            <w:pPr>
              <w:jc w:val="distribute"/>
              <w:rPr>
                <w:rFonts w:hint="eastAsia" w:eastAsia="华文中宋"/>
                <w:b/>
                <w:bCs/>
                <w:color w:val="FF0000"/>
                <w:w w:val="85"/>
                <w:sz w:val="72"/>
              </w:rPr>
            </w:pPr>
            <w:r>
              <w:rPr>
                <w:rFonts w:hint="eastAsia" w:eastAsia="华文中宋"/>
                <w:b/>
                <w:bCs/>
                <w:color w:val="FF0000"/>
                <w:w w:val="85"/>
                <w:sz w:val="72"/>
              </w:rPr>
              <w:t>宁波市教育局</w:t>
            </w:r>
          </w:p>
        </w:tc>
        <w:tc>
          <w:tcPr>
            <w:tcW w:w="1645" w:type="dxa"/>
            <w:vMerge w:val="restart"/>
            <w:noWrap w:val="0"/>
            <w:vAlign w:val="center"/>
          </w:tcPr>
          <w:p>
            <w:pPr>
              <w:ind w:firstLine="24" w:firstLineChars="4"/>
              <w:jc w:val="distribute"/>
              <w:rPr>
                <w:rFonts w:hint="eastAsia" w:eastAsia="华文中宋"/>
                <w:b/>
                <w:bCs/>
                <w:color w:val="FF0000"/>
                <w:w w:val="85"/>
                <w:sz w:val="72"/>
              </w:rPr>
            </w:pPr>
            <w:r>
              <w:rPr>
                <w:rFonts w:hint="eastAsia" w:eastAsia="华文中宋"/>
                <w:b/>
                <w:bCs/>
                <w:color w:val="FF0000"/>
                <w:w w:val="85"/>
                <w:sz w:val="72"/>
              </w:rPr>
              <w:t>文件</w:t>
            </w:r>
          </w:p>
        </w:tc>
      </w:tr>
      <w:tr>
        <w:tblPrEx>
          <w:tblCellMar>
            <w:top w:w="0" w:type="dxa"/>
            <w:left w:w="108" w:type="dxa"/>
            <w:bottom w:w="0" w:type="dxa"/>
            <w:right w:w="108" w:type="dxa"/>
          </w:tblCellMar>
        </w:tblPrEx>
        <w:trPr>
          <w:cantSplit/>
          <w:trHeight w:val="1176" w:hRule="atLeast"/>
        </w:trPr>
        <w:tc>
          <w:tcPr>
            <w:tcW w:w="7596" w:type="dxa"/>
            <w:noWrap w:val="0"/>
            <w:vAlign w:val="top"/>
          </w:tcPr>
          <w:p>
            <w:pPr>
              <w:jc w:val="distribute"/>
              <w:rPr>
                <w:rFonts w:hint="eastAsia" w:eastAsia="华文中宋"/>
                <w:b/>
                <w:bCs/>
                <w:color w:val="FF0000"/>
                <w:w w:val="85"/>
                <w:sz w:val="72"/>
              </w:rPr>
            </w:pPr>
            <w:r>
              <w:rPr>
                <w:rFonts w:hint="eastAsia" w:eastAsia="华文中宋"/>
                <w:b/>
                <w:bCs/>
                <w:color w:val="FF0000"/>
                <w:w w:val="85"/>
                <w:sz w:val="72"/>
                <w:lang w:val="en-US" w:eastAsia="zh-CN"/>
              </w:rPr>
              <w:t>宁波市民族宗教事务局</w:t>
            </w:r>
          </w:p>
        </w:tc>
        <w:tc>
          <w:tcPr>
            <w:tcW w:w="1645" w:type="dxa"/>
            <w:vMerge w:val="continue"/>
            <w:noWrap w:val="0"/>
            <w:vAlign w:val="top"/>
          </w:tcPr>
          <w:p>
            <w:pPr>
              <w:jc w:val="distribute"/>
              <w:rPr>
                <w:rFonts w:eastAsia="华文中宋"/>
                <w:b/>
                <w:bCs/>
                <w:color w:val="FF0000"/>
                <w:w w:val="85"/>
                <w:sz w:val="72"/>
              </w:rPr>
            </w:pPr>
          </w:p>
        </w:tc>
      </w:tr>
      <w:tr>
        <w:tblPrEx>
          <w:tblCellMar>
            <w:top w:w="0" w:type="dxa"/>
            <w:left w:w="108" w:type="dxa"/>
            <w:bottom w:w="0" w:type="dxa"/>
            <w:right w:w="108" w:type="dxa"/>
          </w:tblCellMar>
        </w:tblPrEx>
        <w:trPr>
          <w:cantSplit/>
          <w:trHeight w:val="1176" w:hRule="atLeast"/>
        </w:trPr>
        <w:tc>
          <w:tcPr>
            <w:tcW w:w="7596" w:type="dxa"/>
            <w:noWrap w:val="0"/>
            <w:vAlign w:val="top"/>
          </w:tcPr>
          <w:p>
            <w:pPr>
              <w:jc w:val="distribute"/>
              <w:rPr>
                <w:rFonts w:hint="eastAsia" w:eastAsia="华文中宋"/>
                <w:b/>
                <w:bCs/>
                <w:color w:val="FF0000"/>
                <w:w w:val="85"/>
                <w:sz w:val="72"/>
                <w:lang w:val="en-US" w:eastAsia="zh-CN"/>
              </w:rPr>
            </w:pPr>
            <w:r>
              <w:rPr>
                <w:rFonts w:hint="eastAsia" w:eastAsia="华文中宋"/>
                <w:b/>
                <w:bCs/>
                <w:color w:val="FF0000"/>
                <w:spacing w:val="-51"/>
                <w:w w:val="85"/>
                <w:sz w:val="72"/>
                <w:lang w:val="en-US" w:eastAsia="zh-CN"/>
              </w:rPr>
              <w:t>宁波市人民政府港澳事务办公室</w:t>
            </w:r>
          </w:p>
        </w:tc>
        <w:tc>
          <w:tcPr>
            <w:tcW w:w="1645" w:type="dxa"/>
            <w:vMerge w:val="continue"/>
            <w:noWrap w:val="0"/>
            <w:vAlign w:val="top"/>
          </w:tcPr>
          <w:p>
            <w:pPr>
              <w:jc w:val="distribute"/>
              <w:rPr>
                <w:rFonts w:eastAsia="华文中宋"/>
                <w:b/>
                <w:bCs/>
                <w:color w:val="FF0000"/>
                <w:w w:val="85"/>
                <w:sz w:val="72"/>
              </w:rPr>
            </w:pPr>
          </w:p>
        </w:tc>
      </w:tr>
      <w:tr>
        <w:tblPrEx>
          <w:tblCellMar>
            <w:top w:w="0" w:type="dxa"/>
            <w:left w:w="108" w:type="dxa"/>
            <w:bottom w:w="0" w:type="dxa"/>
            <w:right w:w="108" w:type="dxa"/>
          </w:tblCellMar>
        </w:tblPrEx>
        <w:trPr>
          <w:cantSplit/>
          <w:trHeight w:val="1176" w:hRule="atLeast"/>
        </w:trPr>
        <w:tc>
          <w:tcPr>
            <w:tcW w:w="7596" w:type="dxa"/>
            <w:noWrap w:val="0"/>
            <w:vAlign w:val="top"/>
          </w:tcPr>
          <w:p>
            <w:pPr>
              <w:jc w:val="distribute"/>
              <w:rPr>
                <w:rFonts w:hint="eastAsia" w:eastAsia="华文中宋"/>
                <w:b/>
                <w:bCs/>
                <w:color w:val="FF0000"/>
                <w:w w:val="85"/>
                <w:sz w:val="72"/>
                <w:lang w:val="en-US" w:eastAsia="zh-CN"/>
              </w:rPr>
            </w:pPr>
            <w:r>
              <w:rPr>
                <w:rFonts w:hint="eastAsia" w:eastAsia="华文中宋"/>
                <w:b/>
                <w:bCs/>
                <w:color w:val="FF0000"/>
                <w:spacing w:val="-45"/>
                <w:w w:val="85"/>
                <w:sz w:val="72"/>
                <w:lang w:val="en-US" w:eastAsia="zh-CN"/>
              </w:rPr>
              <w:t>宁波市人民政府台湾事务办公室</w:t>
            </w:r>
          </w:p>
        </w:tc>
        <w:tc>
          <w:tcPr>
            <w:tcW w:w="1645" w:type="dxa"/>
            <w:vMerge w:val="continue"/>
            <w:noWrap w:val="0"/>
            <w:vAlign w:val="top"/>
          </w:tcPr>
          <w:p>
            <w:pPr>
              <w:jc w:val="distribute"/>
              <w:rPr>
                <w:rFonts w:eastAsia="华文中宋"/>
                <w:b/>
                <w:bCs/>
                <w:color w:val="FF0000"/>
                <w:w w:val="85"/>
                <w:sz w:val="72"/>
              </w:rPr>
            </w:pPr>
          </w:p>
        </w:tc>
      </w:tr>
      <w:tr>
        <w:tblPrEx>
          <w:tblCellMar>
            <w:top w:w="0" w:type="dxa"/>
            <w:left w:w="108" w:type="dxa"/>
            <w:bottom w:w="0" w:type="dxa"/>
            <w:right w:w="108" w:type="dxa"/>
          </w:tblCellMar>
        </w:tblPrEx>
        <w:trPr>
          <w:cantSplit/>
          <w:trHeight w:val="1176" w:hRule="atLeast"/>
        </w:trPr>
        <w:tc>
          <w:tcPr>
            <w:tcW w:w="7596" w:type="dxa"/>
            <w:noWrap w:val="0"/>
            <w:vAlign w:val="top"/>
          </w:tcPr>
          <w:p>
            <w:pPr>
              <w:jc w:val="distribute"/>
              <w:rPr>
                <w:rFonts w:hint="eastAsia" w:eastAsia="华文中宋"/>
                <w:b/>
                <w:bCs/>
                <w:color w:val="FF0000"/>
                <w:w w:val="85"/>
                <w:sz w:val="72"/>
                <w:lang w:val="en-US" w:eastAsia="zh-CN"/>
              </w:rPr>
            </w:pPr>
            <w:r>
              <w:rPr>
                <w:rFonts w:hint="eastAsia" w:eastAsia="华文中宋"/>
                <w:b/>
                <w:bCs/>
                <w:color w:val="FF0000"/>
                <w:w w:val="85"/>
                <w:sz w:val="72"/>
                <w:lang w:val="en-US" w:eastAsia="zh-CN"/>
              </w:rPr>
              <w:t>宁波市人民政府侨务办公室</w:t>
            </w:r>
          </w:p>
        </w:tc>
        <w:tc>
          <w:tcPr>
            <w:tcW w:w="1645" w:type="dxa"/>
            <w:vMerge w:val="continue"/>
            <w:noWrap w:val="0"/>
            <w:vAlign w:val="top"/>
          </w:tcPr>
          <w:p>
            <w:pPr>
              <w:jc w:val="distribute"/>
              <w:rPr>
                <w:rFonts w:eastAsia="华文中宋"/>
                <w:b/>
                <w:bCs/>
                <w:color w:val="FF0000"/>
                <w:w w:val="85"/>
                <w:sz w:val="72"/>
              </w:rPr>
            </w:pPr>
          </w:p>
        </w:tc>
      </w:tr>
    </w:tbl>
    <w:p>
      <w:pPr>
        <w:keepNext w:val="0"/>
        <w:keepLines w:val="0"/>
        <w:pageBreakBefore w:val="0"/>
        <w:widowControl/>
        <w:kinsoku/>
        <w:wordWrap/>
        <w:overflowPunct/>
        <w:topLinePunct/>
        <w:autoSpaceDE/>
        <w:autoSpaceDN/>
        <w:bidi w:val="0"/>
        <w:adjustRightInd/>
        <w:snapToGrid/>
        <w:textAlignment w:val="auto"/>
        <w:rPr>
          <w:rFonts w:hint="eastAsia" w:ascii="仿宋_GB2312" w:eastAsia="华文中宋"/>
          <w:sz w:val="32"/>
        </w:rPr>
      </w:pPr>
    </w:p>
    <w:p>
      <w:pPr>
        <w:keepNext w:val="0"/>
        <w:keepLines w:val="0"/>
        <w:pageBreakBefore w:val="0"/>
        <w:widowControl/>
        <w:kinsoku/>
        <w:wordWrap/>
        <w:overflowPunct/>
        <w:topLinePunct/>
        <w:autoSpaceDE/>
        <w:autoSpaceDN/>
        <w:bidi w:val="0"/>
        <w:adjustRightInd/>
        <w:snapToGrid/>
        <w:textAlignment w:val="auto"/>
        <w:rPr>
          <w:rFonts w:hint="eastAsia" w:ascii="楷体_GB2312" w:eastAsia="楷体_GB2312"/>
          <w:sz w:val="32"/>
        </w:rPr>
      </w:pPr>
    </w:p>
    <w:p>
      <w:pPr>
        <w:ind w:firstLine="320" w:firstLineChars="100"/>
        <w:jc w:val="center"/>
        <w:rPr>
          <w:rFonts w:hint="eastAsia" w:ascii="楷体" w:hAnsi="楷体" w:eastAsia="楷体"/>
          <w:sz w:val="32"/>
        </w:rPr>
      </w:pPr>
      <w:r>
        <w:rPr>
          <w:rFonts w:hint="eastAsia" w:ascii="仿宋_GB2312" w:hAnsi="仿宋_GB2312" w:eastAsia="仿宋_GB2312" w:cs="仿宋_GB2312"/>
          <w:sz w:val="32"/>
        </w:rPr>
        <w:t>甬教</w:t>
      </w:r>
      <w:r>
        <w:rPr>
          <w:rFonts w:hint="eastAsia" w:ascii="仿宋_GB2312" w:hAnsi="仿宋_GB2312" w:eastAsia="仿宋_GB2312" w:cs="仿宋_GB2312"/>
          <w:sz w:val="32"/>
          <w:lang w:eastAsia="zh-CN"/>
        </w:rPr>
        <w:t>基</w:t>
      </w:r>
      <w:r>
        <w:rPr>
          <w:rFonts w:hint="eastAsia" w:ascii="仿宋_GB2312" w:hAnsi="仿宋_GB2312" w:eastAsia="仿宋_GB2312" w:cs="仿宋_GB2312"/>
          <w:sz w:val="32"/>
        </w:rPr>
        <w:t>〔20</w:t>
      </w:r>
      <w:r>
        <w:rPr>
          <w:rFonts w:hint="eastAsia" w:ascii="仿宋_GB2312" w:hAnsi="仿宋_GB2312" w:eastAsia="仿宋_GB2312" w:cs="仿宋_GB2312"/>
          <w:sz w:val="32"/>
          <w:lang w:val="en-US" w:eastAsia="zh-CN"/>
        </w:rPr>
        <w:t>25</w:t>
      </w:r>
      <w:r>
        <w:rPr>
          <w:rFonts w:hint="eastAsia" w:ascii="仿宋_GB2312" w:hAnsi="仿宋_GB2312" w:eastAsia="仿宋_GB2312" w:cs="仿宋_GB2312"/>
          <w:sz w:val="32"/>
        </w:rPr>
        <w:t>〕</w:t>
      </w:r>
      <w:r>
        <w:rPr>
          <w:rFonts w:hint="eastAsia" w:ascii="仿宋_GB2312" w:hAnsi="仿宋_GB2312" w:eastAsia="仿宋_GB2312" w:cs="仿宋_GB2312"/>
          <w:sz w:val="32"/>
          <w:lang w:val="en-US" w:eastAsia="zh-CN"/>
        </w:rPr>
        <w:t>24</w:t>
      </w:r>
      <w:r>
        <w:rPr>
          <w:rFonts w:hint="eastAsia" w:ascii="仿宋_GB2312" w:hAnsi="仿宋_GB2312" w:eastAsia="仿宋_GB2312" w:cs="仿宋_GB2312"/>
          <w:sz w:val="32"/>
        </w:rPr>
        <w:t>号</w:t>
      </w:r>
      <w:r>
        <w:rPr>
          <w:rFonts w:eastAsia="仿宋_GB2312"/>
          <w:sz w:val="32"/>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410845</wp:posOffset>
                </wp:positionV>
                <wp:extent cx="5867400" cy="6350"/>
                <wp:effectExtent l="0" t="0" r="0" b="0"/>
                <wp:wrapSquare wrapText="bothSides"/>
                <wp:docPr id="7" name="直接连接符 7"/>
                <wp:cNvGraphicFramePr/>
                <a:graphic xmlns:a="http://schemas.openxmlformats.org/drawingml/2006/main">
                  <a:graphicData uri="http://schemas.microsoft.com/office/word/2010/wordprocessingShape">
                    <wps:wsp>
                      <wps:cNvCnPr/>
                      <wps:spPr>
                        <a:xfrm flipV="1">
                          <a:off x="0" y="0"/>
                          <a:ext cx="5867400" cy="635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2.25pt;margin-top:32.35pt;height:0.5pt;width:462pt;mso-wrap-distance-bottom:0pt;mso-wrap-distance-left:9pt;mso-wrap-distance-right:9pt;mso-wrap-distance-top:0pt;z-index:251660288;mso-width-relative:page;mso-height-relative:page;" filled="f" stroked="t" coordsize="21600,21600" o:gfxdata="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p2wDtoAAAAI&#10;AQAADwAAAAAAAAABACAAAAA4AAAAZHJzL2Rvd25yZXYueG1sUEsBAhQAFAAAAAgAh07iQBGhMtAE&#10;AgAA8gMAAA4AAAAAAAAAAQAgAAAAPwEAAGRycy9lMm9Eb2MueG1sUEsFBgAAAAAGAAYAWQEAALUF&#10;AAAAAA==&#10;">
                <v:fill on="f" focussize="0,0"/>
                <v:stroke weight="2.25pt" color="#FF0000" joinstyle="round"/>
                <v:imagedata o:title=""/>
                <o:lock v:ext="edit" aspectratio="f"/>
                <w10:wrap type="square"/>
              </v:lin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楷体_GB2312" w:eastAsia="楷体_GB2312"/>
          <w:sz w:val="32"/>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eastAsia="仿宋_GB2312"/>
          <w:sz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sz w:val="44"/>
          <w:szCs w:val="44"/>
        </w:rPr>
      </w:pPr>
      <w:r>
        <w:rPr>
          <w:rFonts w:hint="eastAsia" w:ascii="Times New Roman" w:hAnsi="Times New Roman" w:eastAsia="方正小标宋简体"/>
          <w:sz w:val="44"/>
          <w:szCs w:val="44"/>
        </w:rPr>
        <w:t>宁波市教育局等五部门关于进一步调整完善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sz w:val="44"/>
          <w:szCs w:val="44"/>
        </w:rPr>
      </w:pPr>
      <w:r>
        <w:rPr>
          <w:rFonts w:hint="eastAsia" w:ascii="Times New Roman" w:hAnsi="Times New Roman" w:eastAsia="方正小标宋简体"/>
          <w:sz w:val="44"/>
          <w:szCs w:val="44"/>
        </w:rPr>
        <w:t>中考加分政策的通知</w:t>
      </w:r>
    </w:p>
    <w:p>
      <w:pPr>
        <w:adjustRightInd w:val="0"/>
        <w:snapToGrid w:val="0"/>
        <w:spacing w:line="580" w:lineRule="exact"/>
        <w:ind w:firstLine="640" w:firstLineChars="200"/>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各区（县、市）教育局、民宗局、港澳办、台办、侨办，宁波高新区教育文体局、宁波前湾新区教育文体和旅游局，各直属学校（单位）：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为深入贯彻落实习近平新时代中国特色社会主义思想和党的二十大精神，深化中考中招改革，规范招生秩序，促进教育公平，现就进一步</w:t>
      </w:r>
      <w:r>
        <w:rPr>
          <w:rFonts w:hint="eastAsia" w:ascii="仿宋_GB2312" w:hAnsi="仿宋_GB2312" w:eastAsia="仿宋_GB2312" w:cs="仿宋_GB2312"/>
          <w:spacing w:val="0"/>
          <w:sz w:val="32"/>
          <w:szCs w:val="32"/>
          <w:lang w:eastAsia="zh-CN"/>
        </w:rPr>
        <w:t>调整</w:t>
      </w:r>
      <w:r>
        <w:rPr>
          <w:rFonts w:hint="eastAsia" w:ascii="仿宋_GB2312" w:hAnsi="仿宋_GB2312" w:eastAsia="仿宋_GB2312" w:cs="仿宋_GB2312"/>
          <w:spacing w:val="0"/>
          <w:sz w:val="32"/>
          <w:szCs w:val="32"/>
        </w:rPr>
        <w:t>完善全市初中学业水平考试（以下简称中考）加分政策通知如下。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color w:val="000000"/>
          <w:spacing w:val="0"/>
          <w:sz w:val="32"/>
          <w:szCs w:val="32"/>
        </w:rPr>
      </w:pPr>
      <w:r>
        <w:rPr>
          <w:rFonts w:hint="eastAsia" w:ascii="黑体" w:hAnsi="黑体" w:eastAsia="黑体" w:cs="黑体"/>
          <w:bCs/>
          <w:color w:val="000000"/>
          <w:spacing w:val="0"/>
          <w:sz w:val="32"/>
          <w:szCs w:val="32"/>
        </w:rPr>
        <w:t>一、保留的加分项目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1.现役军人子女应届考生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根据教育部、中央军委政治工作部、全国双拥办印发《关于进一步做好军人子女教育优待工作的若干意见》（军政〔2021〕247号）和浙江省教育厅、浙江省军区政治部</w:t>
      </w:r>
      <w:r>
        <w:rPr>
          <w:rFonts w:hint="eastAsia" w:ascii="仿宋_GB2312" w:hAnsi="仿宋_GB2312" w:eastAsia="仿宋_GB2312" w:cs="仿宋_GB2312"/>
          <w:spacing w:val="0"/>
          <w:sz w:val="32"/>
          <w:szCs w:val="32"/>
          <w:u w:val="none"/>
        </w:rPr>
        <w:t>《关于</w:t>
      </w:r>
      <w:r>
        <w:rPr>
          <w:rFonts w:hint="eastAsia" w:ascii="仿宋_GB2312" w:hAnsi="仿宋_GB2312" w:eastAsia="仿宋_GB2312" w:cs="仿宋_GB2312"/>
          <w:spacing w:val="0"/>
          <w:sz w:val="32"/>
          <w:szCs w:val="32"/>
          <w:u w:val="none"/>
          <w:lang w:eastAsia="zh-CN"/>
        </w:rPr>
        <w:t>进一步做好</w:t>
      </w:r>
      <w:r>
        <w:rPr>
          <w:rFonts w:hint="eastAsia" w:ascii="仿宋_GB2312" w:hAnsi="仿宋_GB2312" w:eastAsia="仿宋_GB2312" w:cs="仿宋_GB2312"/>
          <w:spacing w:val="0"/>
          <w:sz w:val="32"/>
          <w:szCs w:val="32"/>
          <w:u w:val="none"/>
        </w:rPr>
        <w:t>军人子女教育优待</w:t>
      </w:r>
      <w:r>
        <w:rPr>
          <w:rFonts w:hint="eastAsia" w:ascii="仿宋_GB2312" w:hAnsi="仿宋_GB2312" w:eastAsia="仿宋_GB2312" w:cs="仿宋_GB2312"/>
          <w:spacing w:val="0"/>
          <w:sz w:val="32"/>
          <w:szCs w:val="32"/>
          <w:u w:val="none"/>
          <w:lang w:eastAsia="zh-CN"/>
        </w:rPr>
        <w:t>工作</w:t>
      </w:r>
      <w:r>
        <w:rPr>
          <w:rFonts w:hint="eastAsia" w:ascii="仿宋_GB2312" w:hAnsi="仿宋_GB2312" w:eastAsia="仿宋_GB2312" w:cs="仿宋_GB2312"/>
          <w:spacing w:val="0"/>
          <w:sz w:val="32"/>
          <w:szCs w:val="32"/>
          <w:u w:val="none"/>
        </w:rPr>
        <w:t>的实施意见》（浙政联〔20</w:t>
      </w:r>
      <w:r>
        <w:rPr>
          <w:rFonts w:hint="eastAsia" w:ascii="仿宋_GB2312" w:hAnsi="仿宋_GB2312" w:eastAsia="仿宋_GB2312" w:cs="仿宋_GB2312"/>
          <w:spacing w:val="0"/>
          <w:sz w:val="32"/>
          <w:szCs w:val="32"/>
          <w:u w:val="none"/>
          <w:lang w:val="en-US" w:eastAsia="zh-CN"/>
        </w:rPr>
        <w:t>24</w:t>
      </w:r>
      <w:r>
        <w:rPr>
          <w:rFonts w:hint="eastAsia" w:ascii="仿宋_GB2312" w:hAnsi="仿宋_GB2312" w:eastAsia="仿宋_GB2312" w:cs="仿宋_GB2312"/>
          <w:spacing w:val="0"/>
          <w:sz w:val="32"/>
          <w:szCs w:val="32"/>
          <w:u w:val="none"/>
        </w:rPr>
        <w:t>〕2号）</w:t>
      </w:r>
      <w:r>
        <w:rPr>
          <w:rFonts w:hint="eastAsia" w:ascii="仿宋_GB2312" w:hAnsi="仿宋_GB2312" w:eastAsia="仿宋_GB2312" w:cs="仿宋_GB2312"/>
          <w:spacing w:val="0"/>
          <w:sz w:val="32"/>
          <w:szCs w:val="32"/>
        </w:rPr>
        <w:t>要求，所有现役军人子女在中考总分基础上加6分，具备其他条件的军人子女按文件执行。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2.国家综合性消防救援队伍人员子女应届考生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根据《浙江省应急管理厅 浙江省教育厅转发应急管理部 教育部关于做好国家综合性消防救援队伍人员及其子女教育优待工作的通知》（浙应急人事〔2019〕37号）要求，烈士、英雄模范和因公牺牲、一级至四级因工伤残消防救援子女和驻边远艰苦地区在职消防救援人员子女，中考加分参照浙江省教育厅、浙江省军区政治部《关于贯彻&lt;军人子女教育优待办法&gt;的实施意见》（浙政联〔2013〕2号）执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3.公安英烈和因公牺牲伤残公安民警子女应届考生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根据《浙江省公安厅 浙江省教育厅关于印发浙江省公安英烈和因公牺牲伤残公安民警子女教育优待工作实施细则（试行）的通知》（浙公通字〔2018〕52号）要求，公安烈士子女在中考总分基础上加30分；公安英模和因公牺牲、一级至四级因公伤残民警子女在中考总分基础上加20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4.归侨、华侨子女、归侨子女应届考生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根据《中华人民共和国归侨侨眷权益保护法》要求，归侨、华侨子女、归侨子女在中考总分基础上加6分。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5.台湾省籍（含台湾户籍）考生应届考生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台湾省籍（含台湾户籍）考生在中考总分基础上加6分。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color w:val="000000"/>
          <w:spacing w:val="0"/>
          <w:sz w:val="32"/>
          <w:szCs w:val="32"/>
        </w:rPr>
      </w:pPr>
      <w:r>
        <w:rPr>
          <w:rFonts w:hint="eastAsia" w:ascii="黑体" w:hAnsi="黑体" w:eastAsia="黑体" w:cs="黑体"/>
          <w:bCs/>
          <w:color w:val="000000"/>
          <w:spacing w:val="0"/>
          <w:sz w:val="32"/>
          <w:szCs w:val="32"/>
          <w:lang w:eastAsia="zh-CN"/>
        </w:rPr>
        <w:t>二</w:t>
      </w:r>
      <w:r>
        <w:rPr>
          <w:rFonts w:hint="eastAsia" w:ascii="黑体" w:hAnsi="黑体" w:eastAsia="黑体" w:cs="黑体"/>
          <w:bCs/>
          <w:color w:val="000000"/>
          <w:spacing w:val="0"/>
          <w:sz w:val="32"/>
          <w:szCs w:val="32"/>
        </w:rPr>
        <w:t>、调整的加分项目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1.港澳同胞子女应届考生</w:t>
      </w:r>
    </w:p>
    <w:p>
      <w:pPr>
        <w:pStyle w:val="9"/>
        <w:keepNext w:val="0"/>
        <w:keepLines w:val="0"/>
        <w:pageBreakBefore w:val="0"/>
        <w:widowControl w:val="0"/>
        <w:kinsoku/>
        <w:wordWrap/>
        <w:overflowPunct/>
        <w:topLinePunct w:val="0"/>
        <w:autoSpaceDE/>
        <w:autoSpaceDN/>
        <w:bidi w:val="0"/>
        <w:adjustRightInd/>
        <w:snapToGrid/>
        <w:spacing w:after="0" w:line="580" w:lineRule="exact"/>
        <w:ind w:left="0" w:leftChars="0" w:firstLine="664"/>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2025年起，港澳同胞子女即考生父母至少一方为港澳永久居民的应届考生在中考总分基础上加6分。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2.少数民族应届考生</w:t>
      </w:r>
    </w:p>
    <w:p>
      <w:pPr>
        <w:pStyle w:val="9"/>
        <w:keepNext w:val="0"/>
        <w:keepLines w:val="0"/>
        <w:pageBreakBefore w:val="0"/>
        <w:widowControl w:val="0"/>
        <w:kinsoku/>
        <w:wordWrap/>
        <w:overflowPunct/>
        <w:topLinePunct w:val="0"/>
        <w:autoSpaceDE/>
        <w:autoSpaceDN/>
        <w:bidi w:val="0"/>
        <w:adjustRightInd/>
        <w:snapToGrid/>
        <w:spacing w:after="0" w:line="580" w:lineRule="exact"/>
        <w:ind w:left="0" w:leftChars="0" w:firstLine="664"/>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2025年起，少数民族考生须在民族乡镇配套的学校完整接受义务教育方可在中考总分基础上加6分。此加分项目202</w:t>
      </w:r>
      <w:r>
        <w:rPr>
          <w:rFonts w:hint="eastAsia" w:ascii="仿宋_GB2312" w:hAnsi="仿宋_GB2312" w:eastAsia="仿宋_GB2312" w:cs="仿宋_GB2312"/>
          <w:spacing w:val="0"/>
          <w:sz w:val="32"/>
          <w:szCs w:val="32"/>
          <w:lang w:val="en-US" w:eastAsia="zh-CN"/>
        </w:rPr>
        <w:t>7</w:t>
      </w:r>
      <w:r>
        <w:rPr>
          <w:rFonts w:hint="eastAsia" w:ascii="仿宋_GB2312" w:hAnsi="仿宋_GB2312" w:eastAsia="仿宋_GB2312" w:cs="仿宋_GB2312"/>
          <w:spacing w:val="0"/>
          <w:sz w:val="32"/>
          <w:szCs w:val="32"/>
        </w:rPr>
        <w:t>年</w:t>
      </w:r>
      <w:r>
        <w:rPr>
          <w:rFonts w:hint="eastAsia" w:ascii="仿宋_GB2312" w:hAnsi="仿宋_GB2312" w:eastAsia="仿宋_GB2312" w:cs="仿宋_GB2312"/>
          <w:spacing w:val="0"/>
          <w:sz w:val="32"/>
          <w:szCs w:val="32"/>
          <w:lang w:eastAsia="zh-CN"/>
        </w:rPr>
        <w:t>取消</w:t>
      </w:r>
      <w:r>
        <w:rPr>
          <w:rFonts w:hint="eastAsia" w:ascii="仿宋_GB2312" w:hAnsi="仿宋_GB2312" w:eastAsia="仿宋_GB2312" w:cs="仿宋_GB2312"/>
          <w:spacing w:val="0"/>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color w:val="000000"/>
          <w:spacing w:val="0"/>
          <w:sz w:val="32"/>
          <w:szCs w:val="32"/>
        </w:rPr>
      </w:pPr>
      <w:r>
        <w:rPr>
          <w:rFonts w:hint="eastAsia" w:ascii="黑体" w:hAnsi="黑体" w:eastAsia="黑体" w:cs="黑体"/>
          <w:bCs/>
          <w:color w:val="000000"/>
          <w:spacing w:val="0"/>
          <w:sz w:val="32"/>
          <w:szCs w:val="32"/>
          <w:lang w:eastAsia="zh-CN"/>
        </w:rPr>
        <w:t>三</w:t>
      </w:r>
      <w:r>
        <w:rPr>
          <w:rFonts w:hint="eastAsia" w:ascii="黑体" w:hAnsi="黑体" w:eastAsia="黑体" w:cs="黑体"/>
          <w:bCs/>
          <w:color w:val="000000"/>
          <w:spacing w:val="0"/>
          <w:sz w:val="32"/>
          <w:szCs w:val="32"/>
        </w:rPr>
        <w:t>、工作要求</w:t>
      </w:r>
    </w:p>
    <w:p>
      <w:pPr>
        <w:pStyle w:val="17"/>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1.全市统一实施。</w:t>
      </w:r>
      <w:r>
        <w:rPr>
          <w:rFonts w:hint="eastAsia" w:ascii="仿宋_GB2312" w:hAnsi="仿宋_GB2312" w:eastAsia="仿宋_GB2312" w:cs="仿宋_GB2312"/>
          <w:bCs/>
          <w:spacing w:val="0"/>
          <w:sz w:val="32"/>
          <w:szCs w:val="32"/>
        </w:rPr>
        <w:t>本政策自2025年中考起实施，</w:t>
      </w:r>
      <w:r>
        <w:rPr>
          <w:rFonts w:hint="eastAsia" w:ascii="仿宋_GB2312" w:hAnsi="仿宋_GB2312" w:eastAsia="仿宋_GB2312" w:cs="仿宋_GB2312"/>
          <w:spacing w:val="0"/>
          <w:sz w:val="32"/>
          <w:szCs w:val="32"/>
        </w:rPr>
        <w:t>考生在以上项目中具有多项加分条件的，按最大一项加分分值计入中考总分，不累计加分。全市严格执行统一的加分项目和加分分值，各区（县、市）不得未经允许设定中考加分项目。</w:t>
      </w:r>
    </w:p>
    <w:p>
      <w:pPr>
        <w:pStyle w:val="17"/>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规范资格审核。各地各部门要按照“谁主管、谁审核、谁负责”的原则，明晰加分考生资格审核中的主体责任、工作流程、审核规则，严厉打击弄虚作假等违规违法行为。凡是以弄虚作假等手段获取加分资格的考生，一经查实，将依法依规处理。</w:t>
      </w:r>
    </w:p>
    <w:p>
      <w:pPr>
        <w:pStyle w:val="17"/>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3.严格信息公示。严格落实加分考生资格公示制度，除军人相关涉密信息外，加分考生所在学校及主管教育行政部门均须向社会公示加分信息。公示内容包括考生姓名、性别、所在学校、加分项目、加分分值等。</w:t>
      </w:r>
    </w:p>
    <w:p>
      <w:pPr>
        <w:pStyle w:val="17"/>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4.加强政策宣传。各地各部门要重视中考加分政策解读工作，理解支持本次</w:t>
      </w:r>
      <w:r>
        <w:rPr>
          <w:rFonts w:hint="eastAsia" w:ascii="仿宋_GB2312" w:hAnsi="仿宋_GB2312" w:eastAsia="仿宋_GB2312" w:cs="仿宋_GB2312"/>
          <w:spacing w:val="0"/>
          <w:sz w:val="32"/>
          <w:szCs w:val="32"/>
          <w:lang w:eastAsia="zh-CN"/>
        </w:rPr>
        <w:t>调整</w:t>
      </w:r>
      <w:r>
        <w:rPr>
          <w:rFonts w:hint="eastAsia" w:ascii="仿宋_GB2312" w:hAnsi="仿宋_GB2312" w:eastAsia="仿宋_GB2312" w:cs="仿宋_GB2312"/>
          <w:spacing w:val="0"/>
          <w:sz w:val="32"/>
          <w:szCs w:val="32"/>
        </w:rPr>
        <w:t>完善中考加分政策的意义，确保政策平稳落地。</w:t>
      </w:r>
    </w:p>
    <w:p>
      <w:pPr>
        <w:pStyle w:val="2"/>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800" w:lineRule="exact"/>
        <w:ind w:left="0" w:right="0" w:firstLine="420"/>
        <w:jc w:val="right"/>
        <w:textAlignment w:val="auto"/>
        <w:rPr>
          <w:rFonts w:hint="eastAsia" w:ascii="仿宋_GB2312" w:hAnsi="仿宋_GB2312" w:eastAsia="仿宋_GB2312" w:cs="仿宋_GB2312"/>
          <w:kern w:val="2"/>
          <w:sz w:val="32"/>
          <w:szCs w:val="32"/>
          <w:lang w:val="en-US" w:eastAsia="zh-CN" w:bidi="ar-SA"/>
          <w14:ligatures w14: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jc w:val="center"/>
        <w:rPr>
          <w:rFonts w:hint="eastAsia" w:ascii="仿宋_GB2312" w:hAnsi="仿宋_GB2312" w:eastAsia="仿宋_GB2312" w:cs="仿宋_GB2312"/>
          <w:spacing w:val="-28"/>
          <w:kern w:val="2"/>
          <w:sz w:val="32"/>
          <w:szCs w:val="32"/>
          <w:lang w:val="en-US" w:eastAsia="zh-CN" w:bidi="ar-SA"/>
          <w14:ligatures w14:val="none"/>
        </w:rPr>
      </w:pPr>
      <w:r>
        <w:rPr>
          <w:rFonts w:hint="eastAsia" w:ascii="仿宋_GB2312" w:hAnsi="仿宋_GB2312" w:eastAsia="仿宋_GB2312" w:cs="仿宋_GB2312"/>
          <w:kern w:val="2"/>
          <w:sz w:val="32"/>
          <w:szCs w:val="32"/>
          <w:lang w:val="en-US" w:eastAsia="zh-CN" w:bidi="ar-SA"/>
          <w14:ligatures w14:val="none"/>
        </w:rPr>
        <w:t>宁波市教育局                 宁波市民族宗教事务局</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jc w:val="center"/>
        <w:rPr>
          <w:rFonts w:hint="eastAsia" w:ascii="仿宋_GB2312" w:hAnsi="仿宋_GB2312" w:eastAsia="仿宋_GB2312" w:cs="仿宋_GB2312"/>
          <w:spacing w:val="-28"/>
          <w:kern w:val="2"/>
          <w:sz w:val="32"/>
          <w:szCs w:val="32"/>
          <w:lang w:val="en-US" w:eastAsia="zh-CN" w:bidi="ar-SA"/>
          <w14:ligatures w14: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jc w:val="center"/>
        <w:rPr>
          <w:rFonts w:hint="eastAsia" w:ascii="仿宋_GB2312" w:hAnsi="仿宋_GB2312" w:eastAsia="仿宋_GB2312" w:cs="仿宋_GB2312"/>
          <w:spacing w:val="-34"/>
          <w:kern w:val="2"/>
          <w:sz w:val="32"/>
          <w:szCs w:val="32"/>
          <w:lang w:val="en-US" w:eastAsia="zh-CN" w:bidi="ar-SA"/>
          <w14:ligatures w14:val="none"/>
        </w:rPr>
      </w:pPr>
      <w:r>
        <w:rPr>
          <w:rFonts w:hint="eastAsia" w:ascii="仿宋_GB2312" w:hAnsi="仿宋_GB2312" w:eastAsia="仿宋_GB2312" w:cs="仿宋_GB2312"/>
          <w:spacing w:val="-28"/>
          <w:kern w:val="2"/>
          <w:sz w:val="32"/>
          <w:szCs w:val="32"/>
          <w:lang w:val="en-US" w:eastAsia="zh-CN" w:bidi="ar-SA"/>
          <w14:ligatures w14:val="none"/>
        </w:rPr>
        <w:t xml:space="preserve">宁波市人民政府港澳事务办公室           </w:t>
      </w:r>
      <w:r>
        <w:rPr>
          <w:rFonts w:hint="eastAsia" w:ascii="仿宋_GB2312" w:hAnsi="仿宋_GB2312" w:eastAsia="仿宋_GB2312" w:cs="仿宋_GB2312"/>
          <w:spacing w:val="-34"/>
          <w:kern w:val="2"/>
          <w:sz w:val="32"/>
          <w:szCs w:val="32"/>
          <w:lang w:val="en-US" w:eastAsia="zh-CN" w:bidi="ar-SA"/>
          <w14:ligatures w14:val="none"/>
        </w:rPr>
        <w:t>宁波市人民政府台湾事务办公室</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jc w:val="center"/>
        <w:rPr>
          <w:rFonts w:hint="eastAsia" w:ascii="仿宋_GB2312" w:hAnsi="仿宋_GB2312" w:eastAsia="仿宋_GB2312" w:cs="仿宋_GB2312"/>
          <w:spacing w:val="-34"/>
          <w:kern w:val="2"/>
          <w:sz w:val="32"/>
          <w:szCs w:val="32"/>
          <w:lang w:val="en-US" w:eastAsia="zh-CN" w:bidi="ar-SA"/>
          <w14:ligatures w14:val="none"/>
        </w:rPr>
      </w:pPr>
    </w:p>
    <w:p>
      <w:pPr>
        <w:keepNext w:val="0"/>
        <w:keepLines w:val="0"/>
        <w:widowControl/>
        <w:suppressLineNumbers w:val="0"/>
        <w:jc w:val="center"/>
        <w:rPr>
          <w:rFonts w:hint="eastAsia" w:ascii="仿宋_GB2312" w:hAnsi="仿宋_GB2312" w:eastAsia="仿宋_GB2312" w:cs="仿宋_GB2312"/>
          <w:spacing w:val="-11"/>
          <w:kern w:val="2"/>
          <w:sz w:val="32"/>
          <w:szCs w:val="32"/>
          <w:lang w:val="en-US" w:eastAsia="zh-CN" w:bidi="ar-SA"/>
          <w14:ligatures w14:val="none"/>
        </w:rPr>
      </w:pPr>
      <w:r>
        <w:rPr>
          <w:rFonts w:hint="eastAsia" w:ascii="仿宋_GB2312" w:hAnsi="仿宋_GB2312" w:eastAsia="仿宋_GB2312" w:cs="仿宋_GB2312"/>
          <w:spacing w:val="-11"/>
          <w:kern w:val="2"/>
          <w:sz w:val="32"/>
          <w:szCs w:val="32"/>
          <w:lang w:val="en-US" w:eastAsia="zh-CN" w:bidi="ar-SA"/>
          <w14:ligatures w14:val="none"/>
        </w:rPr>
        <w:t>宁波市人民政府侨务办公室</w:t>
      </w:r>
    </w:p>
    <w:p>
      <w:pPr>
        <w:pStyle w:val="2"/>
        <w:ind w:firstLine="960" w:firstLineChars="300"/>
        <w:jc w:val="both"/>
        <w:rPr>
          <w:rFonts w:hint="eastAsia" w:ascii="仿宋_GB2312" w:hAnsi="仿宋_GB2312" w:eastAsia="仿宋_GB2312" w:cs="仿宋_GB2312"/>
          <w:kern w:val="2"/>
          <w:sz w:val="32"/>
          <w:szCs w:val="32"/>
          <w:lang w:val="en-US" w:eastAsia="zh-CN" w:bidi="ar-SA"/>
          <w14:ligatures w14:val="none"/>
        </w:rPr>
        <w:sectPr>
          <w:footerReference r:id="rId3" w:type="default"/>
          <w:pgSz w:w="11906" w:h="16838"/>
          <w:pgMar w:top="2098" w:right="1474" w:bottom="1984" w:left="1587" w:header="851" w:footer="1417" w:gutter="0"/>
          <w:pgNumType w:fmt="decimal" w:start="1"/>
          <w:cols w:space="0" w:num="1"/>
          <w:rtlGutter w:val="0"/>
          <w:docGrid w:type="lines" w:linePitch="312" w:charSpace="0"/>
        </w:sectPr>
      </w:pPr>
      <w:r>
        <w:rPr>
          <w:rFonts w:hint="eastAsia" w:ascii="仿宋_GB2312" w:hAnsi="仿宋_GB2312" w:eastAsia="仿宋_GB2312" w:cs="仿宋_GB2312"/>
          <w:kern w:val="2"/>
          <w:sz w:val="32"/>
          <w:szCs w:val="32"/>
          <w:lang w:val="en-US" w:eastAsia="zh-CN" w:bidi="ar-SA"/>
          <w14:ligatures w14:val="none"/>
        </w:rPr>
        <w:t>2025年1月28日</w:t>
      </w:r>
      <w:bookmarkStart w:id="0" w:name="_GoBack"/>
      <w:bookmarkEnd w:id="0"/>
    </w:p>
    <w:p>
      <w:pPr>
        <w:rPr>
          <w:rFonts w:hint="eastAsia" w:ascii="仿宋_GB2312" w:hAnsi="仿宋_GB2312" w:eastAsia="仿宋_GB2312" w:cs="仿宋_GB2312"/>
          <w:sz w:val="32"/>
        </w:rPr>
      </w:pPr>
    </w:p>
    <w:sectPr>
      <w:footerReference r:id="rId4" w:type="default"/>
      <w:pgSz w:w="11906" w:h="16838"/>
      <w:pgMar w:top="2098" w:right="1474" w:bottom="1984" w:left="1587" w:header="851" w:footer="1417"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6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6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ZhZGFhYzE5Y2YwNTVhYjllZGI2ZWE0MTdjMTQwMjAifQ=="/>
  </w:docVars>
  <w:rsids>
    <w:rsidRoot w:val="00850605"/>
    <w:rsid w:val="00001493"/>
    <w:rsid w:val="00183C63"/>
    <w:rsid w:val="00186F47"/>
    <w:rsid w:val="001937A9"/>
    <w:rsid w:val="00197C58"/>
    <w:rsid w:val="001C2546"/>
    <w:rsid w:val="00204FA4"/>
    <w:rsid w:val="002418B5"/>
    <w:rsid w:val="00264E22"/>
    <w:rsid w:val="002B424E"/>
    <w:rsid w:val="002E1BC1"/>
    <w:rsid w:val="0033031D"/>
    <w:rsid w:val="003760DA"/>
    <w:rsid w:val="00386F7B"/>
    <w:rsid w:val="003A501C"/>
    <w:rsid w:val="003B7412"/>
    <w:rsid w:val="003B7B90"/>
    <w:rsid w:val="003C53FD"/>
    <w:rsid w:val="004B655D"/>
    <w:rsid w:val="004D009D"/>
    <w:rsid w:val="005D3224"/>
    <w:rsid w:val="006B1C3A"/>
    <w:rsid w:val="007811A0"/>
    <w:rsid w:val="00782572"/>
    <w:rsid w:val="00782E47"/>
    <w:rsid w:val="00790EC1"/>
    <w:rsid w:val="00803830"/>
    <w:rsid w:val="00816B5B"/>
    <w:rsid w:val="00850605"/>
    <w:rsid w:val="008B6C67"/>
    <w:rsid w:val="008D77EB"/>
    <w:rsid w:val="009C0A91"/>
    <w:rsid w:val="009C2A1B"/>
    <w:rsid w:val="00A064C6"/>
    <w:rsid w:val="00A160D3"/>
    <w:rsid w:val="00A56AA4"/>
    <w:rsid w:val="00A620C7"/>
    <w:rsid w:val="00A7626B"/>
    <w:rsid w:val="00AE186E"/>
    <w:rsid w:val="00B80765"/>
    <w:rsid w:val="00B93F60"/>
    <w:rsid w:val="00BD60A6"/>
    <w:rsid w:val="00BD6145"/>
    <w:rsid w:val="00BD7024"/>
    <w:rsid w:val="00C24A9F"/>
    <w:rsid w:val="00C675DB"/>
    <w:rsid w:val="00C76404"/>
    <w:rsid w:val="00CB5F4C"/>
    <w:rsid w:val="00D4479F"/>
    <w:rsid w:val="00D904FD"/>
    <w:rsid w:val="00DD0F20"/>
    <w:rsid w:val="00DD3043"/>
    <w:rsid w:val="00DE71A7"/>
    <w:rsid w:val="00E125B5"/>
    <w:rsid w:val="00E2245C"/>
    <w:rsid w:val="00E475BF"/>
    <w:rsid w:val="00EF13F6"/>
    <w:rsid w:val="00F26053"/>
    <w:rsid w:val="00F4409D"/>
    <w:rsid w:val="00F6276F"/>
    <w:rsid w:val="0F78156E"/>
    <w:rsid w:val="1DBFED58"/>
    <w:rsid w:val="27F62D00"/>
    <w:rsid w:val="27FF4668"/>
    <w:rsid w:val="2BD778FB"/>
    <w:rsid w:val="32ED7C9C"/>
    <w:rsid w:val="3B7B8604"/>
    <w:rsid w:val="3FBDE40C"/>
    <w:rsid w:val="3FEBBE41"/>
    <w:rsid w:val="3FFC130B"/>
    <w:rsid w:val="4FED4BCE"/>
    <w:rsid w:val="513FD51F"/>
    <w:rsid w:val="567FA897"/>
    <w:rsid w:val="577F953B"/>
    <w:rsid w:val="5CBFFDEE"/>
    <w:rsid w:val="5E421D40"/>
    <w:rsid w:val="5FF61247"/>
    <w:rsid w:val="649F0028"/>
    <w:rsid w:val="664A1651"/>
    <w:rsid w:val="67CF3D3B"/>
    <w:rsid w:val="6EB7AD5B"/>
    <w:rsid w:val="739C0479"/>
    <w:rsid w:val="76AF3ECF"/>
    <w:rsid w:val="76FBC6D8"/>
    <w:rsid w:val="77AFEB25"/>
    <w:rsid w:val="797DFCB7"/>
    <w:rsid w:val="7ADF34C0"/>
    <w:rsid w:val="7B5F0EC5"/>
    <w:rsid w:val="7BB1F2CB"/>
    <w:rsid w:val="7BFFC8A3"/>
    <w:rsid w:val="7D7331BD"/>
    <w:rsid w:val="7F3760CD"/>
    <w:rsid w:val="7F3F8ABC"/>
    <w:rsid w:val="7F4C2264"/>
    <w:rsid w:val="7F9B4F31"/>
    <w:rsid w:val="7F9F0BE9"/>
    <w:rsid w:val="7FAE28DA"/>
    <w:rsid w:val="9DFBB181"/>
    <w:rsid w:val="A52D2A0E"/>
    <w:rsid w:val="B7F2285A"/>
    <w:rsid w:val="BF8DD08B"/>
    <w:rsid w:val="BF955F4F"/>
    <w:rsid w:val="CEBD3DBB"/>
    <w:rsid w:val="CEFE93A2"/>
    <w:rsid w:val="DEBD33E6"/>
    <w:rsid w:val="DFFD7EB2"/>
    <w:rsid w:val="E4FB8ACD"/>
    <w:rsid w:val="E7F7D455"/>
    <w:rsid w:val="EC6DEB5E"/>
    <w:rsid w:val="EFFF38AF"/>
    <w:rsid w:val="F773CEC6"/>
    <w:rsid w:val="F97F9443"/>
    <w:rsid w:val="FBA12FA8"/>
    <w:rsid w:val="FDEF63C8"/>
    <w:rsid w:val="FF9BB7F0"/>
    <w:rsid w:val="FFDD6648"/>
    <w:rsid w:val="FFDF78CE"/>
    <w:rsid w:val="FFF6A510"/>
    <w:rsid w:val="FFF6C97C"/>
    <w:rsid w:val="FFFBB3F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qFormat="1" w:unhideWhenUsed="0" w:uiPriority="0" w:semiHidden="0"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14:ligatures w14:val="none"/>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0"/>
    <w:pPr>
      <w:suppressAutoHyphens w:val="0"/>
      <w:ind w:left="2100"/>
    </w:pPr>
    <w:rPr>
      <w:rFonts w:asciiTheme="minorHAnsi" w:hAnsiTheme="minorHAnsi" w:eastAsiaTheme="minorEastAsia" w:cstheme="minorBidi"/>
    </w:rPr>
  </w:style>
  <w:style w:type="paragraph" w:styleId="3">
    <w:name w:val="Body Text"/>
    <w:basedOn w:val="1"/>
    <w:link w:val="12"/>
    <w:semiHidden/>
    <w:unhideWhenUsed/>
    <w:qFormat/>
    <w:uiPriority w:val="99"/>
    <w:pPr>
      <w:spacing w:after="120"/>
    </w:pPr>
  </w:style>
  <w:style w:type="paragraph" w:styleId="4">
    <w:name w:val="Body Text Indent"/>
    <w:basedOn w:val="1"/>
    <w:link w:val="18"/>
    <w:semiHidden/>
    <w:unhideWhenUsed/>
    <w:qFormat/>
    <w:uiPriority w:val="99"/>
    <w:pPr>
      <w:spacing w:after="120"/>
      <w:ind w:left="420" w:leftChars="200"/>
    </w:p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0"/>
    <w:pPr>
      <w:suppressAutoHyphens w:val="0"/>
      <w:spacing w:before="100" w:beforeAutospacing="1" w:after="100" w:afterAutospacing="1"/>
      <w:jc w:val="left"/>
    </w:pPr>
    <w:rPr>
      <w:rFonts w:asciiTheme="minorHAnsi" w:hAnsiTheme="minorHAnsi" w:eastAsiaTheme="minorEastAsia"/>
      <w:kern w:val="0"/>
      <w:sz w:val="24"/>
    </w:rPr>
  </w:style>
  <w:style w:type="paragraph" w:styleId="8">
    <w:name w:val="Body Text First Indent"/>
    <w:basedOn w:val="3"/>
    <w:link w:val="13"/>
    <w:unhideWhenUsed/>
    <w:qFormat/>
    <w:uiPriority w:val="99"/>
    <w:pPr>
      <w:ind w:firstLine="420" w:firstLineChars="100"/>
    </w:pPr>
  </w:style>
  <w:style w:type="paragraph" w:styleId="9">
    <w:name w:val="Body Text First Indent 2"/>
    <w:basedOn w:val="4"/>
    <w:link w:val="19"/>
    <w:qFormat/>
    <w:uiPriority w:val="0"/>
    <w:pPr>
      <w:suppressAutoHyphens w:val="0"/>
      <w:ind w:firstLine="420" w:firstLineChars="200"/>
    </w:pPr>
    <w:rPr>
      <w:rFonts w:asciiTheme="minorHAnsi" w:hAnsiTheme="minorHAnsi" w:eastAsiaTheme="minorEastAsia" w:cstheme="minorBidi"/>
    </w:rPr>
  </w:style>
  <w:style w:type="character" w:customStyle="1" w:styleId="12">
    <w:name w:val="正文文本 字符"/>
    <w:basedOn w:val="11"/>
    <w:link w:val="3"/>
    <w:semiHidden/>
    <w:qFormat/>
    <w:uiPriority w:val="99"/>
    <w:rPr>
      <w:rFonts w:ascii="Calibri" w:hAnsi="Calibri" w:eastAsia="宋体" w:cs="Times New Roman"/>
      <w:szCs w:val="24"/>
      <w14:ligatures w14:val="none"/>
    </w:rPr>
  </w:style>
  <w:style w:type="character" w:customStyle="1" w:styleId="13">
    <w:name w:val="正文文本首行缩进 字符"/>
    <w:basedOn w:val="12"/>
    <w:link w:val="8"/>
    <w:qFormat/>
    <w:uiPriority w:val="99"/>
    <w:rPr>
      <w:rFonts w:ascii="Calibri" w:hAnsi="Calibri" w:eastAsia="宋体" w:cs="Times New Roman"/>
      <w:szCs w:val="24"/>
      <w14:ligatures w14:val="none"/>
    </w:rPr>
  </w:style>
  <w:style w:type="paragraph" w:styleId="14">
    <w:name w:val="List Paragraph"/>
    <w:basedOn w:val="1"/>
    <w:qFormat/>
    <w:uiPriority w:val="99"/>
    <w:pPr>
      <w:ind w:firstLine="420" w:firstLineChars="200"/>
    </w:pPr>
  </w:style>
  <w:style w:type="character" w:customStyle="1" w:styleId="15">
    <w:name w:val="页眉 字符"/>
    <w:basedOn w:val="11"/>
    <w:link w:val="6"/>
    <w:qFormat/>
    <w:uiPriority w:val="99"/>
    <w:rPr>
      <w:rFonts w:ascii="Calibri" w:hAnsi="Calibri" w:eastAsia="宋体" w:cs="Times New Roman"/>
      <w:sz w:val="18"/>
      <w:szCs w:val="18"/>
      <w14:ligatures w14:val="none"/>
    </w:rPr>
  </w:style>
  <w:style w:type="character" w:customStyle="1" w:styleId="16">
    <w:name w:val="页脚 字符"/>
    <w:basedOn w:val="11"/>
    <w:link w:val="5"/>
    <w:qFormat/>
    <w:uiPriority w:val="99"/>
    <w:rPr>
      <w:rFonts w:ascii="Calibri" w:hAnsi="Calibri" w:eastAsia="宋体" w:cs="Times New Roman"/>
      <w:sz w:val="18"/>
      <w:szCs w:val="18"/>
      <w14:ligatures w14:val="none"/>
    </w:rPr>
  </w:style>
  <w:style w:type="paragraph" w:customStyle="1" w:styleId="17">
    <w:name w:val="Char"/>
    <w:basedOn w:val="1"/>
    <w:next w:val="2"/>
    <w:qFormat/>
    <w:uiPriority w:val="0"/>
    <w:pPr>
      <w:suppressAutoHyphens w:val="0"/>
    </w:pPr>
    <w:rPr>
      <w:rFonts w:ascii="Times New Roman" w:hAnsiTheme="minorHAnsi" w:eastAsiaTheme="minorEastAsia" w:cstheme="minorBidi"/>
    </w:rPr>
  </w:style>
  <w:style w:type="character" w:customStyle="1" w:styleId="18">
    <w:name w:val="正文文本缩进 字符"/>
    <w:basedOn w:val="11"/>
    <w:link w:val="4"/>
    <w:semiHidden/>
    <w:qFormat/>
    <w:uiPriority w:val="99"/>
    <w:rPr>
      <w:rFonts w:ascii="Calibri" w:hAnsi="Calibri" w:eastAsia="宋体" w:cs="Times New Roman"/>
      <w:szCs w:val="24"/>
      <w14:ligatures w14:val="none"/>
    </w:rPr>
  </w:style>
  <w:style w:type="character" w:customStyle="1" w:styleId="19">
    <w:name w:val="正文文本首行缩进 2 字符"/>
    <w:basedOn w:val="18"/>
    <w:link w:val="9"/>
    <w:qFormat/>
    <w:uiPriority w:val="0"/>
    <w:rPr>
      <w:rFonts w:ascii="Calibri" w:hAnsi="Calibri" w:eastAsia="宋体" w:cs="Times New Roman"/>
      <w:szCs w:val="24"/>
      <w14:ligatures w14: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5977</Words>
  <Characters>6172</Characters>
  <Lines>43</Lines>
  <Paragraphs>12</Paragraphs>
  <TotalTime>7</TotalTime>
  <ScaleCrop>false</ScaleCrop>
  <LinksUpToDate>false</LinksUpToDate>
  <CharactersWithSpaces>6198</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2024-12-11T23:51:00Z</dcterms:created>
  <dc:creator>Lenovo</dc:creator>
  <cp:lastModifiedBy>黄彪</cp:lastModifiedBy>
  <cp:lastPrinted>2025-01-17T02:32:00Z</cp:lastPrinted>
  <dcterms:modified xsi:type="dcterms:W3CDTF">2025-02-13T08:54:28Z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C7B50132FDFAB71449FB75675317E618_43</vt:lpwstr>
  </property>
</Properties>
</file>